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W w:type="auto" w:w="0"/>
        <w:tblLook w:firstColumn="1" w:firstRow="1" w:lastColumn="0" w:lastRow="0" w:noHBand="0" w:noVBand="1" w:val="04A0"/>
      </w:tblPr>
      <w:tblGrid>
        <w:gridCol w:w="9360"/>
      </w:tblGrid>
      <w:tr>
        <w:tc>
          <w:tcPr>
            <w:tcW w:type="dxa" w:w="9360"/>
            <w:shd w:val="clear" w:color="auto" w:fill="0B1929"/>
            <w:tcBorders>
              <w:top w:val="single" w:sz="4" w:color="0B1929"/>
              <w:left w:val="single" w:sz="4" w:color="0B1929"/>
              <w:bottom w:val="single" w:sz="4" w:color="0B1929"/>
              <w:right w:val="single" w:sz="4" w:color="0B1929"/>
            </w:tcBorders>
          </w:tcPr>
          <w:p>
            <w:pPr>
              <w:spacing w:after="160" w:before="160"/>
            </w:pPr>
            <w:r>
              <w:rPr>
                <w:rFonts w:ascii="Calibri" w:hAnsi="Calibri"/>
                <w:b/>
                <w:color w:val="FFFFFF"/>
                <w:sz w:val="36"/>
              </w:rPr>
              <w:t xml:space="preserve">  NAJA CAPITAL</w:t>
            </w:r>
          </w:p>
        </w:tc>
      </w:tr>
    </w:tbl>
    <w:p>
      <w:pPr>
        <w:spacing w:after="1600" w:before="0"/>
      </w:pPr>
      <w:r>
        <w:rPr>
          <w:rFonts w:ascii="Calibri" w:hAnsi="Calibri"/>
          <w:b w:val="0"/>
          <w:i w:val="0"/>
          <w:sz w:val="8"/>
        </w:rPr>
      </w:r>
    </w:p>
    <w:p>
      <w:pPr>
        <w:spacing w:after="160" w:before="0"/>
        <w:jc w:val="center"/>
      </w:pPr>
      <w:r>
        <w:rPr>
          <w:rFonts w:ascii="Calibri" w:hAnsi="Calibri"/>
          <w:b/>
          <w:i w:val="0"/>
          <w:color w:val="A8884B"/>
          <w:sz w:val="20"/>
        </w:rPr>
        <w:t>FREE RESOURCE</w:t>
      </w:r>
    </w:p>
    <w:p>
      <w:pPr>
        <w:spacing w:after="240" w:before="0"/>
        <w:jc w:val="center"/>
      </w:pPr>
      <w:r>
        <w:rPr>
          <w:rFonts w:ascii="Calibri" w:hAnsi="Calibri"/>
          <w:b/>
          <w:i w:val="0"/>
          <w:color w:val="0B1929"/>
          <w:sz w:val="56"/>
        </w:rPr>
        <w:t>Business Plan Outline</w:t>
        <w:br/>
        <w:t>(Templated)</w:t>
      </w:r>
    </w:p>
    <w:p>
      <w:pPr>
        <w:jc w:val="center"/>
        <w:pBdr>
          <w:bottom w:val="single" w:sz="6" w:space="1" w:color="A8884B"/>
        </w:pBdr>
      </w:pPr>
    </w:p>
    <w:p>
      <w:pPr>
        <w:spacing w:after="6000" w:before="0"/>
        <w:jc w:val="center"/>
      </w:pPr>
      <w:r>
        <w:rPr>
          <w:rFonts w:ascii="Calibri" w:hAnsi="Calibri"/>
          <w:b w:val="0"/>
          <w:i/>
          <w:color w:val="333F4A"/>
          <w:sz w:val="22"/>
        </w:rPr>
        <w:t>A free resource from NAJA Capital</w:t>
      </w:r>
    </w:p>
    <w:p>
      <w:pPr>
        <w:spacing w:after="80" w:before="0"/>
        <w:jc w:val="center"/>
      </w:pPr>
      <w:r>
        <w:rPr>
          <w:rFonts w:ascii="Calibri" w:hAnsi="Calibri"/>
          <w:b w:val="0"/>
          <w:i/>
          <w:color w:val="6B7380"/>
          <w:sz w:val="18"/>
        </w:rPr>
        <w:t>v1.0 — May 2026</w:t>
      </w:r>
    </w:p>
    <w:p>
      <w:pPr>
        <w:spacing w:after="80" w:before="0"/>
        <w:jc w:val="center"/>
      </w:pPr>
      <w:r>
        <w:rPr>
          <w:rFonts w:ascii="Calibri" w:hAnsi="Calibri"/>
          <w:b w:val="0"/>
          <w:i w:val="0"/>
          <w:color w:val="6B7380"/>
          <w:sz w:val="18"/>
        </w:rPr>
        <w:t>najacapital.com</w:t>
      </w:r>
    </w:p>
    <w:p>
      <w:r>
        <w:br w:type="page"/>
      </w:r>
    </w:p>
    <w:p>
      <w:pPr>
        <w:pStyle w:val="Heading1"/>
      </w:pPr>
      <w:r>
        <w:t>How to use this template</w:t>
      </w:r>
    </w:p>
    <w:p>
      <w:pPr>
        <w:spacing w:after="80" w:before="0"/>
      </w:pPr>
      <w:r>
        <w:rPr>
          <w:rFonts w:ascii="Calibri" w:hAnsi="Calibri"/>
          <w:b w:val="0"/>
          <w:i w:val="0"/>
          <w:sz w:val="22"/>
        </w:rPr>
        <w:t>Replace each section with your own content. Keep the structure. The goal is a 12–18 page document that a credible lender, investor, or advisor can read in 20 minutes and understand the business, the opportunity, and the capital plan. Avoid marketing language. Use specific numbers. Document your assumptions.</w:t>
      </w:r>
    </w:p>
    <w:p>
      <w:r>
        <w:br w:type="page"/>
      </w:r>
    </w:p>
    <w:p>
      <w:pPr>
        <w:pStyle w:val="Heading1"/>
      </w:pPr>
      <w:r>
        <w:t>1. Executive Summary</w:t>
      </w:r>
    </w:p>
    <w:p>
      <w:pPr>
        <w:spacing w:after="80" w:before="0"/>
      </w:pPr>
      <w:r>
        <w:rPr>
          <w:rFonts w:ascii="Calibri" w:hAnsi="Calibri"/>
          <w:b w:val="0"/>
          <w:i w:val="0"/>
          <w:sz w:val="22"/>
        </w:rPr>
        <w:t>[Two to three paragraphs. What the business is, who it serves, what the opportunity is, what you need from the reader, and the headline financial pitch.]</w:t>
      </w:r>
    </w:p>
    <w:p>
      <w:r>
        <w:br w:type="page"/>
      </w:r>
    </w:p>
    <w:p>
      <w:pPr>
        <w:pStyle w:val="Heading1"/>
      </w:pPr>
      <w:r>
        <w:t>2. The Business</w:t>
      </w:r>
    </w:p>
    <w:p>
      <w:pPr>
        <w:pStyle w:val="Heading3"/>
      </w:pPr>
      <w:r>
        <w:t>Product or service</w:t>
      </w:r>
    </w:p>
    <w:p>
      <w:pPr>
        <w:spacing w:after="80" w:before="0"/>
      </w:pPr>
      <w:r>
        <w:rPr>
          <w:rFonts w:ascii="Calibri" w:hAnsi="Calibri"/>
          <w:b w:val="0"/>
          <w:i w:val="0"/>
          <w:sz w:val="22"/>
        </w:rPr>
        <w:t>[What you sell, how it is delivered, and what the customer pays for. Be specific.]</w:t>
      </w:r>
    </w:p>
    <w:p>
      <w:pPr>
        <w:pStyle w:val="Heading3"/>
      </w:pPr>
      <w:r>
        <w:t>Value proposition</w:t>
      </w:r>
    </w:p>
    <w:p>
      <w:pPr>
        <w:spacing w:after="80" w:before="0"/>
      </w:pPr>
      <w:r>
        <w:rPr>
          <w:rFonts w:ascii="Calibri" w:hAnsi="Calibri"/>
          <w:b w:val="0"/>
          <w:i w:val="0"/>
          <w:sz w:val="22"/>
        </w:rPr>
        <w:t>[Why the customer chooses your product. Quantify wherever possible.]</w:t>
      </w:r>
    </w:p>
    <w:p>
      <w:pPr>
        <w:pStyle w:val="Heading3"/>
      </w:pPr>
      <w:r>
        <w:t>Stage of business</w:t>
      </w:r>
    </w:p>
    <w:p>
      <w:pPr>
        <w:spacing w:after="80" w:before="0"/>
      </w:pPr>
      <w:r>
        <w:rPr>
          <w:rFonts w:ascii="Calibri" w:hAnsi="Calibri"/>
          <w:b w:val="0"/>
          <w:i w:val="0"/>
          <w:sz w:val="22"/>
        </w:rPr>
        <w:t>[Pre-revenue, early revenue, scale, profitable. Founding date, ownership structure, key milestones.]</w:t>
      </w:r>
    </w:p>
    <w:p>
      <w:r>
        <w:br w:type="page"/>
      </w:r>
    </w:p>
    <w:p>
      <w:pPr>
        <w:pStyle w:val="Heading1"/>
      </w:pPr>
      <w:r>
        <w:t>3. Market</w:t>
      </w:r>
    </w:p>
    <w:p>
      <w:pPr>
        <w:pStyle w:val="Heading3"/>
      </w:pPr>
      <w:r>
        <w:t>Market size</w:t>
      </w:r>
    </w:p>
    <w:p>
      <w:pPr>
        <w:spacing w:after="80" w:before="0"/>
      </w:pPr>
      <w:r>
        <w:rPr>
          <w:rFonts w:ascii="Calibri" w:hAnsi="Calibri"/>
          <w:b w:val="0"/>
          <w:i w:val="0"/>
          <w:sz w:val="22"/>
        </w:rPr>
        <w:t>[Total addressable market, serviceable market, your realistic share. Show your math — both top-down (industry data) and bottom-up (target customers × price).]</w:t>
      </w:r>
    </w:p>
    <w:p>
      <w:pPr>
        <w:pStyle w:val="Heading3"/>
      </w:pPr>
      <w:r>
        <w:t>Customer segments</w:t>
      </w:r>
    </w:p>
    <w:p>
      <w:pPr>
        <w:spacing w:after="80" w:before="0"/>
      </w:pPr>
      <w:r>
        <w:rPr>
          <w:rFonts w:ascii="Calibri" w:hAnsi="Calibri"/>
          <w:b w:val="0"/>
          <w:i w:val="0"/>
          <w:sz w:val="22"/>
        </w:rPr>
        <w:t>[Who buys, how they buy, what they pay, what they need.]</w:t>
      </w:r>
    </w:p>
    <w:p>
      <w:pPr>
        <w:pStyle w:val="Heading3"/>
      </w:pPr>
      <w:r>
        <w:t>Competitive landscape</w:t>
      </w:r>
    </w:p>
    <w:p>
      <w:pPr>
        <w:spacing w:after="80" w:before="0"/>
      </w:pPr>
      <w:r>
        <w:rPr>
          <w:rFonts w:ascii="Calibri" w:hAnsi="Calibri"/>
          <w:b w:val="0"/>
          <w:i w:val="0"/>
          <w:sz w:val="22"/>
        </w:rPr>
        <w:t>[Named competitors — direct, indirect, and status-quo alternatives. What they do well, what you do better.]</w:t>
      </w:r>
    </w:p>
    <w:p>
      <w:pPr>
        <w:pStyle w:val="Heading3"/>
      </w:pPr>
      <w:r>
        <w:t>Trends</w:t>
      </w:r>
    </w:p>
    <w:p>
      <w:pPr>
        <w:spacing w:after="80" w:before="0"/>
      </w:pPr>
      <w:r>
        <w:rPr>
          <w:rFonts w:ascii="Calibri" w:hAnsi="Calibri"/>
          <w:b w:val="0"/>
          <w:i w:val="0"/>
          <w:sz w:val="22"/>
        </w:rPr>
        <w:t>[Three to five structural trends shaping the market over the next 3–5 years.]</w:t>
      </w:r>
    </w:p>
    <w:p>
      <w:r>
        <w:br w:type="page"/>
      </w:r>
    </w:p>
    <w:p>
      <w:pPr>
        <w:pStyle w:val="Heading1"/>
      </w:pPr>
      <w:r>
        <w:t>4. Operations</w:t>
      </w:r>
    </w:p>
    <w:p>
      <w:pPr>
        <w:pStyle w:val="Heading3"/>
      </w:pPr>
      <w:r>
        <w:t>How the business runs</w:t>
      </w:r>
    </w:p>
    <w:p>
      <w:pPr>
        <w:spacing w:after="80" w:before="0"/>
      </w:pPr>
      <w:r>
        <w:rPr>
          <w:rFonts w:ascii="Calibri" w:hAnsi="Calibri"/>
          <w:b w:val="0"/>
          <w:i w:val="0"/>
          <w:sz w:val="22"/>
        </w:rPr>
        <w:t>[Day-to-day operating model. Suppliers. Logistics. Technology. Locations.]</w:t>
      </w:r>
    </w:p>
    <w:p>
      <w:pPr>
        <w:pStyle w:val="Heading3"/>
      </w:pPr>
      <w:r>
        <w:t>Key capabilities</w:t>
      </w:r>
    </w:p>
    <w:p>
      <w:pPr>
        <w:spacing w:after="80" w:before="0"/>
      </w:pPr>
      <w:r>
        <w:rPr>
          <w:rFonts w:ascii="Calibri" w:hAnsi="Calibri"/>
          <w:b w:val="0"/>
          <w:i w:val="0"/>
          <w:sz w:val="22"/>
        </w:rPr>
        <w:t>[What the business does well that competitors do not. Intellectual property, processes, brand, relationships.]</w:t>
      </w:r>
    </w:p>
    <w:p>
      <w:r>
        <w:br w:type="page"/>
      </w:r>
    </w:p>
    <w:p>
      <w:pPr>
        <w:pStyle w:val="Heading1"/>
      </w:pPr>
      <w:r>
        <w:t>5. Team</w:t>
      </w:r>
    </w:p>
    <w:p>
      <w:pPr>
        <w:pStyle w:val="Heading3"/>
      </w:pPr>
      <w:r>
        <w:t>Leadership</w:t>
      </w:r>
    </w:p>
    <w:p>
      <w:pPr>
        <w:spacing w:after="80" w:before="0"/>
      </w:pPr>
      <w:r>
        <w:rPr>
          <w:rFonts w:ascii="Calibri" w:hAnsi="Calibri"/>
          <w:b w:val="0"/>
          <w:i w:val="0"/>
          <w:sz w:val="22"/>
        </w:rPr>
        <w:t>[Bios of management. Prior experience. Equity ownership. Time committed.]</w:t>
      </w:r>
    </w:p>
    <w:p>
      <w:pPr>
        <w:pStyle w:val="Heading3"/>
      </w:pPr>
      <w:r>
        <w:t>Advisors</w:t>
      </w:r>
    </w:p>
    <w:p>
      <w:pPr>
        <w:spacing w:after="80" w:before="0"/>
      </w:pPr>
      <w:r>
        <w:rPr>
          <w:rFonts w:ascii="Calibri" w:hAnsi="Calibri"/>
          <w:b w:val="0"/>
          <w:i w:val="0"/>
          <w:sz w:val="22"/>
        </w:rPr>
        <w:t>[Board of advisors, professional advisors, key relationships.]</w:t>
      </w:r>
    </w:p>
    <w:p>
      <w:pPr>
        <w:pStyle w:val="Heading3"/>
      </w:pPr>
      <w:r>
        <w:t>Org chart</w:t>
      </w:r>
    </w:p>
    <w:p>
      <w:pPr>
        <w:spacing w:after="80" w:before="0"/>
      </w:pPr>
      <w:r>
        <w:rPr>
          <w:rFonts w:ascii="Calibri" w:hAnsi="Calibri"/>
          <w:b w:val="0"/>
          <w:i w:val="0"/>
          <w:sz w:val="22"/>
        </w:rPr>
        <w:t>[Current structure and the structure 12 months from now.]</w:t>
      </w:r>
    </w:p>
    <w:p>
      <w:r>
        <w:br w:type="page"/>
      </w:r>
    </w:p>
    <w:p>
      <w:pPr>
        <w:pStyle w:val="Heading1"/>
      </w:pPr>
      <w:r>
        <w:t>6. Unit Economics</w:t>
      </w:r>
    </w:p>
    <w:p>
      <w:pPr>
        <w:pStyle w:val="Heading3"/>
      </w:pPr>
      <w:r>
        <w:t>Revenue model</w:t>
      </w:r>
    </w:p>
    <w:p>
      <w:pPr>
        <w:spacing w:after="80" w:before="0"/>
      </w:pPr>
      <w:r>
        <w:rPr>
          <w:rFonts w:ascii="Calibri" w:hAnsi="Calibri"/>
          <w:b w:val="0"/>
          <w:i w:val="0"/>
          <w:sz w:val="22"/>
        </w:rPr>
        <w:t>[Price × volume by product / service line. What drives revenue per customer.]</w:t>
      </w:r>
    </w:p>
    <w:p>
      <w:pPr>
        <w:pStyle w:val="Heading3"/>
      </w:pPr>
      <w:r>
        <w:t>Customer acquisition</w:t>
      </w:r>
    </w:p>
    <w:p>
      <w:pPr>
        <w:spacing w:after="80" w:before="0"/>
      </w:pPr>
      <w:r>
        <w:rPr>
          <w:rFonts w:ascii="Calibri" w:hAnsi="Calibri"/>
          <w:b w:val="0"/>
          <w:i w:val="0"/>
          <w:sz w:val="22"/>
        </w:rPr>
        <w:t>[CAC, sales cycle, channels, conversion rates.]</w:t>
      </w:r>
    </w:p>
    <w:p>
      <w:pPr>
        <w:pStyle w:val="Heading3"/>
      </w:pPr>
      <w:r>
        <w:t>Cost to deliver</w:t>
      </w:r>
    </w:p>
    <w:p>
      <w:pPr>
        <w:spacing w:after="80" w:before="0"/>
      </w:pPr>
      <w:r>
        <w:rPr>
          <w:rFonts w:ascii="Calibri" w:hAnsi="Calibri"/>
          <w:b w:val="0"/>
          <w:i w:val="0"/>
          <w:sz w:val="22"/>
        </w:rPr>
        <w:t>[COGS per unit. Gross margin per line.]</w:t>
      </w:r>
    </w:p>
    <w:p>
      <w:pPr>
        <w:pStyle w:val="Heading3"/>
      </w:pPr>
      <w:r>
        <w:t>Lifetime value</w:t>
      </w:r>
    </w:p>
    <w:p>
      <w:pPr>
        <w:spacing w:after="80" w:before="0"/>
      </w:pPr>
      <w:r>
        <w:rPr>
          <w:rFonts w:ascii="Calibri" w:hAnsi="Calibri"/>
          <w:b w:val="0"/>
          <w:i w:val="0"/>
          <w:sz w:val="22"/>
        </w:rPr>
        <w:t>[LTV calculation. LTV:CAC ratio. Payback period.]</w:t>
      </w:r>
    </w:p>
    <w:p>
      <w:r>
        <w:br w:type="page"/>
      </w:r>
    </w:p>
    <w:p>
      <w:pPr>
        <w:pStyle w:val="Heading1"/>
      </w:pPr>
      <w:r>
        <w:t>7. Financials</w:t>
      </w:r>
    </w:p>
    <w:p>
      <w:pPr>
        <w:pStyle w:val="Heading3"/>
      </w:pPr>
      <w:r>
        <w:t>Historical performance</w:t>
      </w:r>
    </w:p>
    <w:p>
      <w:pPr>
        <w:spacing w:after="80" w:before="0"/>
      </w:pPr>
      <w:r>
        <w:rPr>
          <w:rFonts w:ascii="Calibri" w:hAnsi="Calibri"/>
          <w:b w:val="0"/>
          <w:i w:val="0"/>
          <w:sz w:val="22"/>
        </w:rPr>
        <w:t>[Three years of P&amp;L, balance sheet, cash flow — or as much as the business has. Tax returns reconciled.]</w:t>
      </w:r>
    </w:p>
    <w:p>
      <w:pPr>
        <w:pStyle w:val="Heading3"/>
      </w:pPr>
      <w:r>
        <w:t>Projections</w:t>
      </w:r>
    </w:p>
    <w:p>
      <w:pPr>
        <w:spacing w:after="80" w:before="0"/>
      </w:pPr>
      <w:r>
        <w:rPr>
          <w:rFonts w:ascii="Calibri" w:hAnsi="Calibri"/>
          <w:b w:val="0"/>
          <w:i w:val="0"/>
          <w:sz w:val="22"/>
        </w:rPr>
        <w:t>[Three- to five-year projections with monthly detail for years 1–2. Driver-based. Document every assumption. Provide base, downside, upside scenarios.]</w:t>
      </w:r>
    </w:p>
    <w:p>
      <w:pPr>
        <w:pStyle w:val="Heading3"/>
      </w:pPr>
      <w:r>
        <w:t>Key metrics</w:t>
      </w:r>
    </w:p>
    <w:p>
      <w:pPr>
        <w:spacing w:after="80" w:before="0"/>
      </w:pPr>
      <w:r>
        <w:rPr>
          <w:rFonts w:ascii="Calibri" w:hAnsi="Calibri"/>
          <w:b w:val="0"/>
          <w:i w:val="0"/>
          <w:sz w:val="22"/>
        </w:rPr>
        <w:t>[Revenue growth, gross margin, EBITDA margin, cash conversion, headcount, KPIs.]</w:t>
      </w:r>
    </w:p>
    <w:p>
      <w:r>
        <w:br w:type="page"/>
      </w:r>
    </w:p>
    <w:p>
      <w:pPr>
        <w:pStyle w:val="Heading1"/>
      </w:pPr>
      <w:r>
        <w:t>8. Capital Plan</w:t>
      </w:r>
    </w:p>
    <w:p>
      <w:pPr>
        <w:pStyle w:val="Heading3"/>
      </w:pPr>
      <w:r>
        <w:t>Use of funds</w:t>
      </w:r>
    </w:p>
    <w:p>
      <w:pPr>
        <w:spacing w:after="80" w:before="0"/>
      </w:pPr>
      <w:r>
        <w:rPr>
          <w:rFonts w:ascii="Calibri" w:hAnsi="Calibri"/>
          <w:b w:val="0"/>
          <w:i w:val="0"/>
          <w:sz w:val="22"/>
        </w:rPr>
        <w:t>[Specific allocation by category. Tied to milestones. Bridge to next financing event or to self-sustaining cash flow.]</w:t>
      </w:r>
    </w:p>
    <w:p>
      <w:pPr>
        <w:pStyle w:val="Heading3"/>
      </w:pPr>
      <w:r>
        <w:t>Proposed terms</w:t>
      </w:r>
    </w:p>
    <w:p>
      <w:pPr>
        <w:spacing w:after="80" w:before="0"/>
      </w:pPr>
      <w:r>
        <w:rPr>
          <w:rFonts w:ascii="Calibri" w:hAnsi="Calibri"/>
          <w:b w:val="0"/>
          <w:i w:val="0"/>
          <w:sz w:val="22"/>
        </w:rPr>
        <w:t>[Type of instrument, amount, pricing, structure. Open to investor input.]</w:t>
      </w:r>
    </w:p>
    <w:p>
      <w:pPr>
        <w:pStyle w:val="Heading3"/>
      </w:pPr>
      <w:r>
        <w:t>Existing capital structure</w:t>
      </w:r>
    </w:p>
    <w:p>
      <w:pPr>
        <w:spacing w:after="80" w:before="0"/>
      </w:pPr>
      <w:r>
        <w:rPr>
          <w:rFonts w:ascii="Calibri" w:hAnsi="Calibri"/>
          <w:b w:val="0"/>
          <w:i w:val="0"/>
          <w:sz w:val="22"/>
        </w:rPr>
        <w:t>[Cap table summary, debt schedule, any pending obligations.]</w:t>
      </w:r>
    </w:p>
    <w:p>
      <w:r>
        <w:br w:type="page"/>
      </w:r>
    </w:p>
    <w:p>
      <w:pPr>
        <w:pStyle w:val="Heading1"/>
      </w:pPr>
      <w:r>
        <w:t>9. Risks</w:t>
      </w:r>
    </w:p>
    <w:p>
      <w:pPr>
        <w:spacing w:after="80" w:before="0"/>
      </w:pPr>
      <w:r>
        <w:rPr>
          <w:rFonts w:ascii="Calibri" w:hAnsi="Calibri"/>
          <w:b w:val="0"/>
          <w:i w:val="0"/>
          <w:sz w:val="22"/>
        </w:rPr>
        <w:t>[Honest disclosure of material risks: customer concentration, supplier dependency, regulatory, technology, key person, macro. For each, the mitigation.]</w:t>
      </w:r>
    </w:p>
    <w:p>
      <w:r>
        <w:br w:type="page"/>
      </w:r>
    </w:p>
    <w:p>
      <w:pPr>
        <w:pStyle w:val="Heading1"/>
      </w:pPr>
      <w:r>
        <w:t>10. Appendix</w:t>
      </w:r>
    </w:p>
    <w:p>
      <w:pPr>
        <w:spacing w:after="80" w:before="0"/>
      </w:pPr>
      <w:r>
        <w:rPr>
          <w:rFonts w:ascii="Calibri" w:hAnsi="Calibri"/>
          <w:b w:val="0"/>
          <w:i w:val="0"/>
          <w:sz w:val="22"/>
        </w:rPr>
        <w:t>[Supporting materials: full financials, customer case studies, market research citations, organizational documents, references.]</w:t>
      </w:r>
    </w:p>
    <w:p>
      <w:pPr>
        <w:spacing w:after="80" w:before="0"/>
      </w:pPr>
      <w:r>
        <w:rPr>
          <w:rFonts w:ascii="Calibri" w:hAnsi="Calibri"/>
          <w:b w:val="0"/>
          <w:i w:val="0"/>
          <w:sz w:val="22"/>
        </w:rPr>
      </w:r>
    </w:p>
    <w:tbl>
      <w:tblPr>
        <w:tblW w:type="auto" w:w="0"/>
        <w:tblLook w:firstColumn="1" w:firstRow="1" w:lastColumn="0" w:lastRow="0" w:noHBand="0" w:noVBand="1" w:val="04A0"/>
      </w:tblPr>
      <w:tblGrid>
        <w:gridCol w:w="9360"/>
      </w:tblGrid>
      <w:tr>
        <w:trPr>
          <w:cantSplit/>
        </w:trPr>
        <w:tc>
          <w:tcPr>
            <w:tcW w:type="dxa" w:w="9360"/>
            <w:shd w:val="clear" w:color="auto" w:fill="F4F1EA"/>
            <w:tcBorders>
              <w:top w:val="single" w:sz="4" w:color="DDDDDD"/>
              <w:left w:val="single" w:sz="4" w:color="DDDDDD"/>
              <w:bottom w:val="single" w:sz="4" w:color="DDDDDD"/>
              <w:right w:val="single" w:sz="4" w:color="DDDDDD"/>
            </w:tcBorders>
          </w:tcPr>
          <w:p>
            <w:r>
              <w:rPr>
                <w:rFonts w:ascii="Calibri" w:hAnsi="Calibri"/>
                <w:b/>
                <w:color w:val="0B1929"/>
                <w:sz w:val="22"/>
              </w:rPr>
              <w:t>Important</w:t>
            </w:r>
          </w:p>
          <w:p>
            <w:r>
              <w:rPr>
                <w:rFonts w:ascii="Calibri" w:hAnsi="Calibri"/>
                <w:color w:val="333F4A"/>
                <w:sz w:val="20"/>
              </w:rPr>
              <w:t>Disclaimer: This resource is provided by NAJA Capital for general educational and informational purposes only. It does not constitute, and should not be relied upon as, legal, tax, accounting, immigration, financial, or investment advice. Use is at your own discretion and risk. NAJA Capital makes no representation or guarantee regarding the accuracy, completeness, suitability, or applicability of this resource to any specific situation. Consult qualified professionals before making decisions. © NAJA Capital. Visit najacapital.com for more free resources.</w:t>
            </w:r>
          </w:p>
        </w:tc>
      </w:tr>
    </w:tbl>
    <w:sectPr w:rsidR="00FC693F" w:rsidRPr="0006063C" w:rsidSect="00034616">
      <w:pgSz w:w="12240" w:h="15840"/>
      <w:pgMar w:top="1440" w:right="1440" w:bottom="1296"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rPr>
      <w:rFonts w:ascii="Calibri" w:hAnsi="Calibri" w:cs="Calibri"/>
      <w:sz w:val="22"/>
    </w:rPr>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280" w:after="120"/>
      <w:outlineLvl w:val="0"/>
    </w:pPr>
    <w:rPr>
      <w:rFonts w:asciiTheme="majorHAnsi" w:eastAsiaTheme="majorEastAsia" w:hAnsiTheme="majorHAnsi" w:cstheme="majorBidi" w:ascii="Calibri" w:hAnsi="Calibri"/>
      <w:b/>
      <w:bCs/>
      <w:color w:val="0B1929"/>
      <w:sz w:val="44"/>
      <w:szCs w:val="28"/>
    </w:rPr>
  </w:style>
  <w:style w:type="paragraph" w:styleId="Heading2">
    <w:name w:val="heading 2"/>
    <w:basedOn w:val="Normal"/>
    <w:next w:val="Normal"/>
    <w:link w:val="Heading2Char"/>
    <w:uiPriority w:val="9"/>
    <w:unhideWhenUsed/>
    <w:qFormat/>
    <w:rsid w:val="00FC693F"/>
    <w:pPr>
      <w:keepNext/>
      <w:keepLines/>
      <w:spacing w:before="200" w:after="80"/>
      <w:outlineLvl w:val="1"/>
    </w:pPr>
    <w:rPr>
      <w:rFonts w:asciiTheme="majorHAnsi" w:eastAsiaTheme="majorEastAsia" w:hAnsiTheme="majorHAnsi" w:cstheme="majorBidi" w:ascii="Calibri" w:hAnsi="Calibri"/>
      <w:b/>
      <w:bCs/>
      <w:color w:val="0B1929"/>
      <w:sz w:val="30"/>
      <w:szCs w:val="26"/>
    </w:rPr>
  </w:style>
  <w:style w:type="paragraph" w:styleId="Heading3">
    <w:name w:val="heading 3"/>
    <w:basedOn w:val="Normal"/>
    <w:next w:val="Normal"/>
    <w:link w:val="Heading3Char"/>
    <w:uiPriority w:val="9"/>
    <w:unhideWhenUsed/>
    <w:qFormat/>
    <w:rsid w:val="00FC693F"/>
    <w:pPr>
      <w:keepNext/>
      <w:keepLines/>
      <w:spacing w:before="200" w:after="80"/>
      <w:outlineLvl w:val="2"/>
    </w:pPr>
    <w:rPr>
      <w:rFonts w:asciiTheme="majorHAnsi" w:eastAsiaTheme="majorEastAsia" w:hAnsiTheme="majorHAnsi" w:cstheme="majorBidi" w:ascii="Calibri" w:hAnsi="Calibri"/>
      <w:b/>
      <w:bCs/>
      <w:color w:val="333F4A"/>
      <w:sz w:val="25"/>
    </w:rPr>
  </w:style>
  <w:style w:type="paragraph" w:styleId="Heading4">
    <w:name w:val="heading 4"/>
    <w:basedOn w:val="Normal"/>
    <w:next w:val="Normal"/>
    <w:link w:val="Heading4Char"/>
    <w:uiPriority w:val="9"/>
    <w:semiHidden/>
    <w:unhideWhenUsed/>
    <w:qFormat/>
    <w:rsid w:val="00FC693F"/>
    <w:pPr>
      <w:keepNext/>
      <w:keepLines/>
      <w:spacing w:before="200" w:after="80"/>
      <w:outlineLvl w:val="3"/>
    </w:pPr>
    <w:rPr>
      <w:rFonts w:asciiTheme="majorHAnsi" w:eastAsiaTheme="majorEastAsia" w:hAnsiTheme="majorHAnsi" w:cstheme="majorBidi" w:ascii="Calibri" w:hAnsi="Calibri"/>
      <w:b/>
      <w:bCs/>
      <w:i/>
      <w:iCs/>
      <w:color w:val="333F4A"/>
      <w:sz w:val="22"/>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